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4B5" w:rsidRDefault="005369F0">
      <w:r>
        <w:t xml:space="preserve">   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4"/>
        <w:gridCol w:w="1526"/>
        <w:gridCol w:w="852"/>
        <w:gridCol w:w="594"/>
        <w:gridCol w:w="1764"/>
        <w:gridCol w:w="950"/>
      </w:tblGrid>
      <w:tr w:rsidR="00DD04B5" w:rsidTr="00B44292">
        <w:trPr>
          <w:trHeight w:val="330"/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Table 3. Multivariable cox regression of OS and CSS for brain metastases cases</w:t>
            </w:r>
          </w:p>
        </w:tc>
      </w:tr>
      <w:tr w:rsidR="00DD04B5" w:rsidTr="00B44292">
        <w:trPr>
          <w:trHeight w:val="360"/>
          <w:jc w:val="center"/>
        </w:trPr>
        <w:tc>
          <w:tcPr>
            <w:tcW w:w="1709" w:type="pct"/>
            <w:vMerge w:val="restart"/>
            <w:tcBorders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137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OS</w:t>
            </w:r>
          </w:p>
        </w:tc>
        <w:tc>
          <w:tcPr>
            <w:tcW w:w="344" w:type="pct"/>
            <w:vMerge w:val="restart"/>
            <w:tcBorders>
              <w:bottom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57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CSS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vMerge/>
            <w:tcBorders>
              <w:bottom w:val="single" w:sz="4" w:space="0" w:color="000000"/>
            </w:tcBorders>
            <w:vAlign w:val="center"/>
            <w:hideMark/>
          </w:tcPr>
          <w:p w:rsidR="00DD04B5" w:rsidRDefault="00DD04B5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HR (95%CI)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  <w:t xml:space="preserve">P 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>Value</w:t>
            </w:r>
          </w:p>
        </w:tc>
        <w:tc>
          <w:tcPr>
            <w:tcW w:w="344" w:type="pct"/>
            <w:vMerge/>
            <w:tcBorders>
              <w:bottom w:val="single" w:sz="4" w:space="0" w:color="000000"/>
            </w:tcBorders>
            <w:vAlign w:val="center"/>
            <w:hideMark/>
          </w:tcPr>
          <w:p w:rsidR="00DD04B5" w:rsidRDefault="00DD04B5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HR (95%CI)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  <w:t xml:space="preserve">P 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>Value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1376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571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Reference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1.17 (0.70-1.95)</w:t>
            </w: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0.55</w:t>
            </w: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1.16 (0.66-2.05)</w:t>
            </w: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0.61</w:t>
            </w:r>
          </w:p>
        </w:tc>
        <w:bookmarkStart w:id="0" w:name="_GoBack"/>
        <w:bookmarkEnd w:id="0"/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Age at diagnosis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18-49</w:t>
            </w:r>
          </w:p>
        </w:tc>
        <w:tc>
          <w:tcPr>
            <w:tcW w:w="1376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571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Reference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50-59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1.16 (0.54-2.48)</w:t>
            </w: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0.71</w:t>
            </w: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1.14 (0.49-2.66)</w:t>
            </w: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0.76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60-69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0.74 (0.34-1.61)</w:t>
            </w: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0.45</w:t>
            </w: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0.70 (0.30-1.65)</w:t>
            </w: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0.42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70-79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2.13 (0.86-5.28)</w:t>
            </w: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1.68 (0.60-4.77)</w:t>
            </w: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0.33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80+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1.15 (0.43-3.10)</w:t>
            </w: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0.78</w:t>
            </w: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0.83 (0.26-2.67)</w:t>
            </w: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0.76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Ethnicity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Caucasian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African-American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1.68 (1.06-2.89)</w:t>
            </w: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2.07 (1.16-3.70)</w:t>
            </w: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0.01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Other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1.40 (0.74-2.65)</w:t>
            </w: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0.30</w:t>
            </w: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1.56 (0.78-3.11)</w:t>
            </w: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0.21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Year of diagnosis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2010-2012</w:t>
            </w:r>
          </w:p>
        </w:tc>
        <w:tc>
          <w:tcPr>
            <w:tcW w:w="1376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571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Reference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2013-2015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0.82 (0.55-1.24)</w:t>
            </w: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0.35</w:t>
            </w: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0.90 (0.56-1.43)</w:t>
            </w: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0.65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AFP status 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Negative</w:t>
            </w:r>
          </w:p>
        </w:tc>
        <w:tc>
          <w:tcPr>
            <w:tcW w:w="1376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571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Reference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Positive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1.03 (0.53-2.00)</w:t>
            </w: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0.94</w:t>
            </w: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1.50 (0.66-3.42)</w:t>
            </w: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0.33</w:t>
            </w:r>
          </w:p>
        </w:tc>
      </w:tr>
      <w:tr w:rsidR="00DD04B5" w:rsidTr="00B44292">
        <w:trPr>
          <w:trHeight w:val="345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Other</w:t>
            </w:r>
            <w:r>
              <w:rPr>
                <w:rFonts w:ascii="Calibri" w:hAnsi="Calibri"/>
                <w:color w:val="000000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1.08 (0.54-2.16)</w:t>
            </w: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0.83</w:t>
            </w: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1.60 (0.67-3.80)</w:t>
            </w: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0.29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Primary tumor stage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T1</w:t>
            </w:r>
          </w:p>
        </w:tc>
        <w:tc>
          <w:tcPr>
            <w:tcW w:w="1376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571" w:type="pct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Reference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T2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0.83 (0.29-2.39)</w:t>
            </w: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0.72</w:t>
            </w: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1.23 (0.38-4.00)</w:t>
            </w: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0.73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T3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0.47 (0.17-1.28)</w:t>
            </w: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0.56 (0.19-1.65)</w:t>
            </w: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0.29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T4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0.51 (0.13-2.01)</w:t>
            </w: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0.34</w:t>
            </w: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0.52 (0.11-2.46)</w:t>
            </w: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0.41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TX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0.35 (0.10-1.22)</w:t>
            </w: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0.48 (0.12-1.85)</w:t>
            </w: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0.29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Primary tumor size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≤2cm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2-5cm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0.42 (0.16-1.06)</w:t>
            </w: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0.41 (0.15-1.14)</w:t>
            </w: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0.08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&gt;5cm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0.83 (0.32-2.12)</w:t>
            </w: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0.69</w:t>
            </w: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0.96 (0.34-2.76)</w:t>
            </w: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0.94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Unknown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1.21 (0.49-2.98)</w:t>
            </w: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0.68</w:t>
            </w: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1.26 (0.47-3.42)</w:t>
            </w: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0.65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Tumor multiplicity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Single lesion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Multiple lesions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3.52 (1.28-9.69)</w:t>
            </w: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2.58 (0.86-7.70)</w:t>
            </w: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0.09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NOS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1.92 (0.62-5.95)</w:t>
            </w: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0.26</w:t>
            </w: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1.50 (0.44-5.07)</w:t>
            </w: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0.51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Metastatic sites to lung, bone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None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Lung or bone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1.23 (0.79-1.91)</w:t>
            </w: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0.35</w:t>
            </w: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1.26 (0.77-2.07)</w:t>
            </w: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0.36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Lung and bone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1.35 (0.70-2.59)</w:t>
            </w: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0.37</w:t>
            </w: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1.34 (0.66-2.72)</w:t>
            </w: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0.42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Unknown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1.03 (0.47-2.26)</w:t>
            </w: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0.94</w:t>
            </w: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1.06 (0.43-2.59)</w:t>
            </w: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0.90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Surgery of the primary site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DD04B5" w:rsidTr="00B44292">
        <w:trPr>
          <w:trHeight w:val="300"/>
          <w:jc w:val="center"/>
        </w:trPr>
        <w:tc>
          <w:tcPr>
            <w:tcW w:w="17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88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0.62 (0.22-1.73)</w:t>
            </w:r>
          </w:p>
        </w:tc>
        <w:tc>
          <w:tcPr>
            <w:tcW w:w="49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0.36</w:t>
            </w:r>
          </w:p>
        </w:tc>
        <w:tc>
          <w:tcPr>
            <w:tcW w:w="34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DD04B5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0.82 (0.28-2.36)</w:t>
            </w:r>
          </w:p>
        </w:tc>
        <w:tc>
          <w:tcPr>
            <w:tcW w:w="55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0.71</w:t>
            </w:r>
          </w:p>
        </w:tc>
      </w:tr>
      <w:tr w:rsidR="00DD04B5" w:rsidTr="00B44292">
        <w:trPr>
          <w:trHeight w:val="345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vertAlign w:val="superscript"/>
              </w:rPr>
              <w:t>a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>Not done or bordeline or unknown.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5000" w:type="pct"/>
            <w:gridSpan w:val="6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HR,  Hazard Ratio; OS, overall survival; CSS, cancer-specific survival; AFP, alpha fetoprotein</w:t>
            </w:r>
          </w:p>
        </w:tc>
      </w:tr>
      <w:tr w:rsidR="00DD04B5" w:rsidTr="00B44292">
        <w:trPr>
          <w:trHeight w:val="300"/>
          <w:jc w:val="center"/>
        </w:trPr>
        <w:tc>
          <w:tcPr>
            <w:tcW w:w="5000" w:type="pct"/>
            <w:gridSpan w:val="6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D04B5" w:rsidRDefault="00536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NOS, not otherwise specified.</w:t>
            </w:r>
          </w:p>
        </w:tc>
      </w:tr>
      <w:tr w:rsidR="00DD04B5" w:rsidTr="00B44292">
        <w:trPr>
          <w:jc w:val="center"/>
        </w:trPr>
        <w:tc>
          <w:tcPr>
            <w:tcW w:w="1709" w:type="pct"/>
            <w:vAlign w:val="center"/>
            <w:hideMark/>
          </w:tcPr>
          <w:p w:rsidR="00DD04B5" w:rsidRDefault="00DD04B5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83" w:type="pct"/>
            <w:vAlign w:val="center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pct"/>
            <w:vAlign w:val="center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vAlign w:val="center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pct"/>
            <w:vAlign w:val="center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pct"/>
            <w:vAlign w:val="center"/>
            <w:hideMark/>
          </w:tcPr>
          <w:p w:rsidR="00DD04B5" w:rsidRDefault="00DD04B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5369F0" w:rsidRDefault="005369F0"/>
    <w:sectPr w:rsidR="005369F0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50AF" w:rsidRDefault="00BE50AF" w:rsidP="00DB2FD7">
      <w:r>
        <w:separator/>
      </w:r>
    </w:p>
  </w:endnote>
  <w:endnote w:type="continuationSeparator" w:id="0">
    <w:p w:rsidR="00BE50AF" w:rsidRDefault="00BE50AF" w:rsidP="00DB2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50AF" w:rsidRDefault="00BE50AF" w:rsidP="00DB2FD7">
      <w:r>
        <w:separator/>
      </w:r>
    </w:p>
  </w:footnote>
  <w:footnote w:type="continuationSeparator" w:id="0">
    <w:p w:rsidR="00BE50AF" w:rsidRDefault="00BE50AF" w:rsidP="00DB2F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FD7"/>
    <w:rsid w:val="005369F0"/>
    <w:rsid w:val="00B44292"/>
    <w:rsid w:val="00BE50AF"/>
    <w:rsid w:val="00DB2FD7"/>
    <w:rsid w:val="00DD0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953044F-5295-4868-BEE0-ABC13CE00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nt023287">
    <w:name w:val="font023287"/>
    <w:basedOn w:val="a"/>
    <w:pPr>
      <w:spacing w:before="100" w:beforeAutospacing="1" w:after="100" w:afterAutospacing="1"/>
    </w:pPr>
    <w:rPr>
      <w:rFonts w:ascii="Calibri" w:hAnsi="Calibri"/>
      <w:color w:val="000000"/>
      <w:sz w:val="22"/>
      <w:szCs w:val="22"/>
    </w:rPr>
  </w:style>
  <w:style w:type="paragraph" w:customStyle="1" w:styleId="font523287">
    <w:name w:val="font523287"/>
    <w:basedOn w:val="a"/>
    <w:pPr>
      <w:spacing w:before="100" w:beforeAutospacing="1" w:after="100" w:afterAutospacing="1"/>
    </w:pPr>
    <w:rPr>
      <w:rFonts w:ascii="Calibri" w:hAnsi="Calibri"/>
      <w:color w:val="000000"/>
      <w:sz w:val="22"/>
      <w:szCs w:val="22"/>
    </w:rPr>
  </w:style>
  <w:style w:type="paragraph" w:customStyle="1" w:styleId="xl1523287">
    <w:name w:val="xl1523287"/>
    <w:basedOn w:val="a"/>
    <w:pPr>
      <w:spacing w:before="100" w:beforeAutospacing="1" w:after="100" w:afterAutospacing="1"/>
      <w:textAlignment w:val="bottom"/>
    </w:pPr>
    <w:rPr>
      <w:rFonts w:ascii="Calibri" w:hAnsi="Calibri"/>
      <w:color w:val="000000"/>
      <w:sz w:val="22"/>
      <w:szCs w:val="22"/>
    </w:rPr>
  </w:style>
  <w:style w:type="paragraph" w:customStyle="1" w:styleId="xl6323287">
    <w:name w:val="xl6323287"/>
    <w:basedOn w:val="a"/>
    <w:pPr>
      <w:spacing w:before="100" w:beforeAutospacing="1" w:after="100" w:afterAutospacing="1"/>
      <w:textAlignment w:val="bottom"/>
    </w:pPr>
    <w:rPr>
      <w:rFonts w:ascii="Calibri" w:hAnsi="Calibri"/>
      <w:color w:val="000000"/>
      <w:sz w:val="22"/>
      <w:szCs w:val="22"/>
    </w:rPr>
  </w:style>
  <w:style w:type="paragraph" w:customStyle="1" w:styleId="xl6423287">
    <w:name w:val="xl6423287"/>
    <w:basedOn w:val="a"/>
    <w:pPr>
      <w:spacing w:before="100" w:beforeAutospacing="1" w:after="100" w:afterAutospacing="1"/>
      <w:textAlignment w:val="bottom"/>
    </w:pPr>
    <w:rPr>
      <w:rFonts w:ascii="Arial" w:hAnsi="Arial" w:cs="Arial"/>
      <w:color w:val="000000"/>
      <w:sz w:val="22"/>
      <w:szCs w:val="22"/>
    </w:rPr>
  </w:style>
  <w:style w:type="paragraph" w:customStyle="1" w:styleId="xl6523287">
    <w:name w:val="xl6523287"/>
    <w:basedOn w:val="a"/>
    <w:pPr>
      <w:spacing w:before="100" w:beforeAutospacing="1" w:after="100" w:afterAutospacing="1"/>
      <w:jc w:val="center"/>
      <w:textAlignment w:val="bottom"/>
    </w:pPr>
    <w:rPr>
      <w:rFonts w:ascii="Calibri" w:hAnsi="Calibri"/>
      <w:color w:val="000000"/>
      <w:sz w:val="22"/>
      <w:szCs w:val="22"/>
    </w:rPr>
  </w:style>
  <w:style w:type="paragraph" w:customStyle="1" w:styleId="xl6623287">
    <w:name w:val="xl6623287"/>
    <w:basedOn w:val="a"/>
    <w:pPr>
      <w:spacing w:before="100" w:beforeAutospacing="1" w:after="100" w:afterAutospacing="1"/>
      <w:jc w:val="center"/>
      <w:textAlignment w:val="bottom"/>
    </w:pPr>
    <w:rPr>
      <w:rFonts w:ascii="Arial" w:hAnsi="Arial" w:cs="Arial"/>
      <w:color w:val="000000"/>
      <w:sz w:val="22"/>
      <w:szCs w:val="22"/>
    </w:rPr>
  </w:style>
  <w:style w:type="paragraph" w:customStyle="1" w:styleId="xl6723287">
    <w:name w:val="xl6723287"/>
    <w:basedOn w:val="a"/>
    <w:pPr>
      <w:pBdr>
        <w:top w:val="single" w:sz="4" w:space="1" w:color="auto"/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Calibri" w:hAnsi="Calibri"/>
      <w:color w:val="000000"/>
      <w:sz w:val="22"/>
      <w:szCs w:val="22"/>
    </w:rPr>
  </w:style>
  <w:style w:type="paragraph" w:customStyle="1" w:styleId="xl6823287">
    <w:name w:val="xl6823287"/>
    <w:basedOn w:val="a"/>
    <w:pPr>
      <w:spacing w:before="100" w:beforeAutospacing="1" w:after="100" w:afterAutospacing="1"/>
      <w:jc w:val="center"/>
      <w:textAlignment w:val="bottom"/>
    </w:pPr>
    <w:rPr>
      <w:rFonts w:ascii="Calibri" w:hAnsi="Calibri"/>
      <w:color w:val="000000"/>
      <w:sz w:val="22"/>
      <w:szCs w:val="22"/>
    </w:rPr>
  </w:style>
  <w:style w:type="paragraph" w:customStyle="1" w:styleId="xl6923287">
    <w:name w:val="xl6923287"/>
    <w:basedOn w:val="a"/>
    <w:pPr>
      <w:pBdr>
        <w:top w:val="single" w:sz="4" w:space="1" w:color="auto"/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Calibri" w:hAnsi="Calibri"/>
      <w:i/>
      <w:iCs/>
      <w:color w:val="000000"/>
      <w:sz w:val="22"/>
      <w:szCs w:val="22"/>
    </w:rPr>
  </w:style>
  <w:style w:type="paragraph" w:customStyle="1" w:styleId="xl7023287">
    <w:name w:val="xl7023287"/>
    <w:basedOn w:val="a"/>
    <w:pPr>
      <w:pBdr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Calibri" w:hAnsi="Calibri"/>
      <w:color w:val="000000"/>
      <w:sz w:val="22"/>
      <w:szCs w:val="22"/>
    </w:rPr>
  </w:style>
  <w:style w:type="paragraph" w:customStyle="1" w:styleId="xl7123287">
    <w:name w:val="xl7123287"/>
    <w:basedOn w:val="a"/>
    <w:pPr>
      <w:pBdr>
        <w:bottom w:val="single" w:sz="4" w:space="0" w:color="auto"/>
      </w:pBdr>
      <w:spacing w:before="100" w:beforeAutospacing="1" w:after="100" w:afterAutospacing="1"/>
      <w:textAlignment w:val="bottom"/>
    </w:pPr>
    <w:rPr>
      <w:rFonts w:ascii="Calibri" w:hAnsi="Calibri"/>
      <w:color w:val="000000"/>
      <w:sz w:val="22"/>
      <w:szCs w:val="22"/>
    </w:rPr>
  </w:style>
  <w:style w:type="paragraph" w:customStyle="1" w:styleId="xl7223287">
    <w:name w:val="xl7223287"/>
    <w:basedOn w:val="a"/>
    <w:pPr>
      <w:pBdr>
        <w:top w:val="single" w:sz="4" w:space="1" w:color="auto"/>
      </w:pBdr>
      <w:spacing w:before="100" w:beforeAutospacing="1" w:after="100" w:afterAutospacing="1"/>
      <w:textAlignment w:val="bottom"/>
    </w:pPr>
    <w:rPr>
      <w:rFonts w:ascii="Calibri" w:hAnsi="Calibri"/>
      <w:color w:val="000000"/>
      <w:sz w:val="22"/>
      <w:szCs w:val="22"/>
    </w:rPr>
  </w:style>
  <w:style w:type="paragraph" w:styleId="a3">
    <w:name w:val="header"/>
    <w:basedOn w:val="a"/>
    <w:link w:val="Char"/>
    <w:uiPriority w:val="99"/>
    <w:unhideWhenUsed/>
    <w:rsid w:val="00DB2FD7"/>
    <w:pPr>
      <w:tabs>
        <w:tab w:val="center" w:pos="4320"/>
        <w:tab w:val="right" w:pos="8640"/>
      </w:tabs>
    </w:pPr>
  </w:style>
  <w:style w:type="character" w:customStyle="1" w:styleId="Char">
    <w:name w:val="页眉 Char"/>
    <w:basedOn w:val="a0"/>
    <w:link w:val="a3"/>
    <w:uiPriority w:val="99"/>
    <w:rsid w:val="00DB2FD7"/>
    <w:rPr>
      <w:rFonts w:ascii="宋体" w:eastAsia="宋体" w:hAnsi="宋体" w:cs="宋体"/>
      <w:sz w:val="24"/>
      <w:szCs w:val="24"/>
    </w:rPr>
  </w:style>
  <w:style w:type="paragraph" w:styleId="a4">
    <w:name w:val="footer"/>
    <w:basedOn w:val="a"/>
    <w:link w:val="Char0"/>
    <w:uiPriority w:val="99"/>
    <w:unhideWhenUsed/>
    <w:rsid w:val="00DB2FD7"/>
    <w:pPr>
      <w:tabs>
        <w:tab w:val="center" w:pos="4320"/>
        <w:tab w:val="right" w:pos="8640"/>
      </w:tabs>
    </w:pPr>
  </w:style>
  <w:style w:type="character" w:customStyle="1" w:styleId="Char0">
    <w:name w:val="页脚 Char"/>
    <w:basedOn w:val="a0"/>
    <w:link w:val="a4"/>
    <w:uiPriority w:val="99"/>
    <w:rsid w:val="00DB2FD7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310</Words>
  <Characters>1772</Characters>
  <Application>Microsoft Office Word</Application>
  <DocSecurity>0</DocSecurity>
  <Lines>14</Lines>
  <Paragraphs>4</Paragraphs>
  <ScaleCrop>false</ScaleCrop>
  <Company/>
  <LinksUpToDate>false</LinksUpToDate>
  <CharactersWithSpaces>2078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JINCHENG FENG</dc:creator>
  <cp:keywords/>
  <dc:description/>
  <cp:lastModifiedBy>JINCHENG FENG</cp:lastModifiedBy>
  <cp:revision>3</cp:revision>
  <dcterms:created xsi:type="dcterms:W3CDTF">2019-08-09T13:55:00Z</dcterms:created>
  <dcterms:modified xsi:type="dcterms:W3CDTF">2019-08-09T13:56:00Z</dcterms:modified>
</cp:coreProperties>
</file>